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0"/>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6826D998" w14:textId="5216E4EB" w:rsidR="00EA7593" w:rsidRPr="00EA7593" w:rsidRDefault="007D2568" w:rsidP="007D2568">
            <w:pPr>
              <w:tabs>
                <w:tab w:val="left" w:pos="7088"/>
              </w:tabs>
              <w:jc w:val="center"/>
              <w:rPr>
                <w:color w:val="000000"/>
                <w:sz w:val="28"/>
                <w:szCs w:val="28"/>
              </w:rPr>
            </w:pPr>
            <w:r w:rsidRPr="00EA7593">
              <w:rPr>
                <w:sz w:val="28"/>
                <w:szCs w:val="28"/>
              </w:rPr>
              <w:t xml:space="preserve">Відкриті торги з </w:t>
            </w:r>
            <w:r w:rsidRPr="008A0055">
              <w:rPr>
                <w:sz w:val="28"/>
                <w:szCs w:val="28"/>
              </w:rPr>
              <w:t xml:space="preserve">особливостями  </w:t>
            </w:r>
            <w:hyperlink r:id="rId6" w:history="1">
              <w:r w:rsidR="008A0055" w:rsidRPr="008A0055">
                <w:rPr>
                  <w:rStyle w:val="a9"/>
                  <w:rFonts w:ascii="Arial" w:hAnsi="Arial" w:cs="Arial"/>
                  <w:sz w:val="28"/>
                  <w:szCs w:val="28"/>
                  <w:shd w:val="clear" w:color="auto" w:fill="F0F5F2"/>
                </w:rPr>
                <w:t>UA-2022-10-07-009042-a</w:t>
              </w:r>
            </w:hyperlink>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3FB0E11F" w:rsidR="009C5CEE" w:rsidRPr="00C071B3" w:rsidRDefault="00D02EEA" w:rsidP="001E67B5">
            <w:pPr>
              <w:tabs>
                <w:tab w:val="left" w:pos="7088"/>
              </w:tabs>
              <w:jc w:val="both"/>
              <w:rPr>
                <w:color w:val="000000"/>
                <w:sz w:val="28"/>
                <w:szCs w:val="16"/>
              </w:rPr>
            </w:pPr>
            <w:r w:rsidRPr="00D02EEA">
              <w:rPr>
                <w:color w:val="000000"/>
                <w:sz w:val="28"/>
                <w:szCs w:val="16"/>
              </w:rPr>
              <w:t xml:space="preserve">сформований з урахуванням обсягів наявної потреби у товарах за рахунок коштів Державного бюджету України на </w:t>
            </w:r>
            <w:r w:rsidR="00091C2A">
              <w:rPr>
                <w:color w:val="000000"/>
                <w:sz w:val="28"/>
                <w:szCs w:val="16"/>
              </w:rPr>
              <w:t xml:space="preserve">січень-березень </w:t>
            </w:r>
            <w:r w:rsidRPr="00D02EEA">
              <w:rPr>
                <w:color w:val="000000"/>
                <w:sz w:val="28"/>
                <w:szCs w:val="16"/>
              </w:rPr>
              <w:t>202</w:t>
            </w:r>
            <w:r w:rsidR="00091C2A">
              <w:rPr>
                <w:color w:val="000000"/>
                <w:sz w:val="28"/>
                <w:szCs w:val="16"/>
              </w:rPr>
              <w:t>3</w:t>
            </w:r>
            <w:r w:rsidRPr="00D02EEA">
              <w:rPr>
                <w:color w:val="000000"/>
                <w:sz w:val="28"/>
                <w:szCs w:val="16"/>
              </w:rPr>
              <w:t>р</w:t>
            </w:r>
            <w:r w:rsidR="00091C2A">
              <w:rPr>
                <w:color w:val="000000"/>
                <w:sz w:val="28"/>
                <w:szCs w:val="16"/>
              </w:rPr>
              <w:t>о</w:t>
            </w:r>
            <w:r w:rsidRPr="00D02EEA">
              <w:rPr>
                <w:color w:val="000000"/>
                <w:sz w:val="28"/>
                <w:szCs w:val="16"/>
              </w:rPr>
              <w:t>к</w:t>
            </w:r>
            <w:r w:rsidR="00091C2A">
              <w:rPr>
                <w:color w:val="000000"/>
                <w:sz w:val="28"/>
                <w:szCs w:val="16"/>
              </w:rPr>
              <w:t>у</w:t>
            </w:r>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5C08C72F" w:rsidR="009C5CEE" w:rsidRPr="00D02EEA" w:rsidRDefault="00091C2A" w:rsidP="006F071B">
            <w:pPr>
              <w:tabs>
                <w:tab w:val="left" w:pos="7088"/>
              </w:tabs>
              <w:jc w:val="both"/>
              <w:rPr>
                <w:color w:val="000000"/>
                <w:sz w:val="28"/>
                <w:szCs w:val="16"/>
              </w:rPr>
            </w:pPr>
            <w:r>
              <w:rPr>
                <w:color w:val="000000"/>
                <w:sz w:val="28"/>
                <w:szCs w:val="16"/>
              </w:rPr>
              <w:t>380750,00</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1D52E733" w:rsidR="00786206" w:rsidRPr="006C2C4F" w:rsidRDefault="007D2568" w:rsidP="001E67B5">
            <w:pPr>
              <w:tabs>
                <w:tab w:val="left" w:pos="7088"/>
              </w:tabs>
              <w:jc w:val="both"/>
              <w:rPr>
                <w:color w:val="000000"/>
                <w:sz w:val="28"/>
                <w:szCs w:val="16"/>
              </w:rPr>
            </w:pPr>
            <w:r>
              <w:rPr>
                <w:color w:val="000000"/>
                <w:sz w:val="28"/>
                <w:szCs w:val="16"/>
              </w:rPr>
              <w:t>2</w:t>
            </w:r>
            <w:r w:rsidR="00091C2A">
              <w:rPr>
                <w:color w:val="000000"/>
                <w:sz w:val="28"/>
                <w:szCs w:val="16"/>
              </w:rPr>
              <w:t>3</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0FDE7E81" w:rsidR="009C5CEE" w:rsidRDefault="00091C2A" w:rsidP="006C2C4F">
            <w:pPr>
              <w:tabs>
                <w:tab w:val="left" w:pos="7088"/>
              </w:tabs>
              <w:jc w:val="both"/>
              <w:rPr>
                <w:color w:val="000000"/>
                <w:sz w:val="28"/>
                <w:szCs w:val="16"/>
              </w:rPr>
            </w:pPr>
            <w:r>
              <w:rPr>
                <w:color w:val="000000"/>
                <w:sz w:val="27"/>
                <w:szCs w:val="27"/>
              </w:rPr>
              <w:t xml:space="preserve">Керуючись </w:t>
            </w:r>
            <w:r w:rsidR="007571FE">
              <w:rPr>
                <w:color w:val="000000"/>
                <w:sz w:val="27"/>
                <w:szCs w:val="27"/>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06F9F4FE" w14:textId="77777777" w:rsidR="00406D8A" w:rsidRDefault="00FB7B07" w:rsidP="00FB7B07">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p w14:paraId="1C9EA407" w14:textId="5F9985B1" w:rsidR="00FB7B07" w:rsidRDefault="00FB7B07" w:rsidP="00FB7B07">
            <w:pPr>
              <w:tabs>
                <w:tab w:val="left" w:pos="7088"/>
              </w:tabs>
              <w:jc w:val="both"/>
              <w:rPr>
                <w:color w:val="000000"/>
                <w:sz w:val="27"/>
                <w:szCs w:val="27"/>
              </w:rPr>
            </w:pP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0C68BE7E"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з 01.01.202</w:t>
            </w:r>
            <w:r w:rsidR="00091C2A">
              <w:rPr>
                <w:color w:val="000000"/>
                <w:sz w:val="27"/>
                <w:szCs w:val="27"/>
              </w:rPr>
              <w:t>3</w:t>
            </w:r>
            <w:r w:rsidR="007D2568">
              <w:rPr>
                <w:color w:val="000000"/>
                <w:sz w:val="27"/>
                <w:szCs w:val="27"/>
              </w:rPr>
              <w:t xml:space="preserve"> року </w:t>
            </w:r>
            <w:r w:rsidRPr="00FB7B07">
              <w:rPr>
                <w:color w:val="000000"/>
                <w:sz w:val="27"/>
                <w:szCs w:val="27"/>
              </w:rPr>
              <w:t xml:space="preserve">до </w:t>
            </w:r>
            <w:r w:rsidR="00091C2A">
              <w:rPr>
                <w:color w:val="000000"/>
                <w:sz w:val="27"/>
                <w:szCs w:val="27"/>
              </w:rPr>
              <w:t>31.03.2023</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E51C8"/>
    <w:rsid w:val="00546B1C"/>
    <w:rsid w:val="005B0AF2"/>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6525F"/>
    <w:rsid w:val="008A0055"/>
    <w:rsid w:val="008D3EE3"/>
    <w:rsid w:val="008F1694"/>
    <w:rsid w:val="009C5CEE"/>
    <w:rsid w:val="009C62D3"/>
    <w:rsid w:val="009F6FC5"/>
    <w:rsid w:val="00A62B74"/>
    <w:rsid w:val="00A96C42"/>
    <w:rsid w:val="00AB2ABD"/>
    <w:rsid w:val="00B31EB0"/>
    <w:rsid w:val="00B5057D"/>
    <w:rsid w:val="00B55FBB"/>
    <w:rsid w:val="00B931B1"/>
    <w:rsid w:val="00BA6D41"/>
    <w:rsid w:val="00BB6DFE"/>
    <w:rsid w:val="00BD639F"/>
    <w:rsid w:val="00BF57A5"/>
    <w:rsid w:val="00C071B3"/>
    <w:rsid w:val="00C10D7B"/>
    <w:rsid w:val="00C2448C"/>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2-10-07-00904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3366</Words>
  <Characters>1920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4</cp:revision>
  <cp:lastPrinted>2023-04-14T10:13:00Z</cp:lastPrinted>
  <dcterms:created xsi:type="dcterms:W3CDTF">2024-08-08T06:26:00Z</dcterms:created>
  <dcterms:modified xsi:type="dcterms:W3CDTF">2024-08-08T06:33:00Z</dcterms:modified>
</cp:coreProperties>
</file>