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49"/>
        <w:gridCol w:w="5247"/>
        <w:gridCol w:w="9905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429394F4" w14:textId="77777777" w:rsidR="00677BD6" w:rsidRDefault="00677BD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77BD6">
              <w:rPr>
                <w:color w:val="000000" w:themeColor="text1"/>
                <w:sz w:val="26"/>
                <w:szCs w:val="26"/>
                <w:shd w:val="clear" w:color="auto" w:fill="FFFFFF"/>
              </w:rPr>
              <w:t>Комп'ютери настільні</w:t>
            </w:r>
          </w:p>
          <w:p w14:paraId="240829DE" w14:textId="6CB3A37B" w:rsidR="00E50122" w:rsidRPr="007571FE" w:rsidRDefault="00A25AE2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677BD6" w:rsidRPr="00677BD6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30210000-1 – Машини для обробки даних апаратна частина (персональні комп’ютери)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21C88F82" w:rsidR="00E50122" w:rsidRPr="00677BD6" w:rsidRDefault="00677BD6" w:rsidP="00C23B9C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hyperlink r:id="rId7" w:history="1">
              <w:r w:rsidRPr="00677BD6">
                <w:rPr>
                  <w:rStyle w:val="a9"/>
                  <w:sz w:val="24"/>
                  <w:szCs w:val="24"/>
                </w:rPr>
                <w:t>UA-2024-09-02-004194-a</w:t>
              </w:r>
            </w:hyperlink>
            <w:r>
              <w:rPr>
                <w:color w:val="6D6D6D"/>
                <w:sz w:val="24"/>
                <w:szCs w:val="24"/>
              </w:rPr>
              <w:t xml:space="preserve"> 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tbl>
            <w:tblPr>
              <w:tblW w:w="967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6565"/>
            </w:tblGrid>
            <w:tr w:rsidR="00097DD6" w14:paraId="5FC1CC2E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308AF1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Параметри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F1411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Вимоги</w:t>
                  </w:r>
                </w:p>
              </w:tc>
            </w:tr>
            <w:tr w:rsidR="00097DD6" w14:paraId="33038A24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2F227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Процесор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D09C28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en-US"/>
                    </w:rPr>
                    <w:t>i</w:t>
                  </w:r>
                  <w:proofErr w:type="spellEnd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ru-RU"/>
                    </w:rPr>
                    <w:t xml:space="preserve">5 не </w:t>
                  </w: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ru-RU"/>
                    </w:rPr>
                    <w:t>гірше</w:t>
                  </w:r>
                  <w:proofErr w:type="spellEnd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ru-RU"/>
                    </w:rPr>
                    <w:t xml:space="preserve"> 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12 </w:t>
                  </w: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покоління</w:t>
                  </w:r>
                  <w:proofErr w:type="spellEnd"/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або</w:t>
                  </w:r>
                  <w:proofErr w:type="spellEnd"/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еквівалент</w:t>
                  </w:r>
                  <w:proofErr w:type="spellEnd"/>
                </w:p>
              </w:tc>
            </w:tr>
            <w:tr w:rsidR="00097DD6" w14:paraId="20EA2912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7583A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Тип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0780B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2"/>
                      <w:rFonts w:ascii="Times New Roman" w:eastAsia="Calibri" w:hAnsi="Times New Roman" w:cs="Times New Roman"/>
                      <w:kern w:val="0"/>
                      <w:lang w:val="en-US"/>
                    </w:rPr>
                    <w:t>DDR4</w:t>
                  </w:r>
                </w:p>
              </w:tc>
            </w:tr>
            <w:tr w:rsidR="00097DD6" w14:paraId="0150F16C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3660AB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Частота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764C1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не менше 3200 МГц</w:t>
                  </w:r>
                </w:p>
              </w:tc>
            </w:tr>
            <w:tr w:rsidR="00097DD6" w14:paraId="14DFEB2C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A5D48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Об'єм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94A9A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 xml:space="preserve">не менше 16 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en-US"/>
                    </w:rPr>
                    <w:t>Gb</w:t>
                  </w:r>
                </w:p>
              </w:tc>
            </w:tr>
            <w:tr w:rsidR="00097DD6" w14:paraId="742409A8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DC475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Максимальна об'єм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76B5A9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2"/>
                      <w:rFonts w:ascii="Times New Roman" w:eastAsia="Calibri" w:hAnsi="Times New Roman" w:cs="Times New Roman"/>
                      <w:kern w:val="0"/>
                      <w:lang w:val="en-US"/>
                    </w:rPr>
                    <w:t>64 Gb</w:t>
                  </w:r>
                </w:p>
              </w:tc>
            </w:tr>
            <w:tr w:rsidR="00097DD6" w14:paraId="0F8E6CFD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935623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Кількість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слотів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C49F8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2"/>
                      <w:rFonts w:ascii="Times New Roman" w:eastAsia="Calibri" w:hAnsi="Times New Roman" w:cs="Times New Roman"/>
                      <w:kern w:val="0"/>
                      <w:lang w:val="en-US"/>
                    </w:rPr>
                    <w:t>2</w:t>
                  </w:r>
                </w:p>
              </w:tc>
            </w:tr>
            <w:tr w:rsidR="00097DD6" w14:paraId="41BCC4A3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7DABC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Об'єм SSD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8F3A4E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не менше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en-US"/>
                    </w:rPr>
                    <w:t>480 Gb</w:t>
                  </w:r>
                </w:p>
              </w:tc>
            </w:tr>
            <w:tr w:rsidR="00097DD6" w14:paraId="313607DE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D07643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 xml:space="preserve">Об'єм 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en-US"/>
                    </w:rPr>
                    <w:t>HD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D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55A209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 xml:space="preserve">не менше 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en-US"/>
                    </w:rPr>
                    <w:t>500 Gb</w:t>
                  </w:r>
                </w:p>
              </w:tc>
            </w:tr>
            <w:tr w:rsidR="00097DD6" w14:paraId="7C206B63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89CE7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Оптичний привід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807D0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немає</w:t>
                  </w:r>
                </w:p>
              </w:tc>
            </w:tr>
            <w:tr w:rsidR="00097DD6" w14:paraId="4E7CAF99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49C7B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2"/>
                      <w:rFonts w:ascii="Times New Roman" w:eastAsia="Calibri" w:hAnsi="Times New Roman" w:cs="Times New Roman"/>
                      <w:kern w:val="0"/>
                    </w:rPr>
                    <w:t>Мережа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3DEF1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10/100/1000 Мбіт/с</w:t>
                  </w:r>
                </w:p>
              </w:tc>
            </w:tr>
            <w:tr w:rsidR="00097DD6" w14:paraId="02DF8C43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696E94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Бездротові технології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C3F01F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2"/>
                      <w:rFonts w:ascii="Times New Roman" w:eastAsia="Calibri" w:hAnsi="Times New Roman" w:cs="Times New Roman"/>
                      <w:kern w:val="0"/>
                    </w:rPr>
                    <w:t>немає</w:t>
                  </w:r>
                </w:p>
              </w:tc>
            </w:tr>
            <w:tr w:rsidR="00097DD6" w14:paraId="51F0FEA3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4A641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</w:p>
                <w:p w14:paraId="143AE323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Зовнішні порти і роз'єми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85FD3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hyperlink r:id="rId8" w:tooltip="Зовнішні порти і роз'єми 3 x Audio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3 x </w:t>
                    </w:r>
                    <w:proofErr w:type="spellStart"/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Audio</w:t>
                    </w:r>
                    <w:proofErr w:type="spellEnd"/>
                  </w:hyperlink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9" w:tooltip="Зовнішні порти і роз'єми 1 x PS/2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PS/2</w:t>
                    </w:r>
                  </w:hyperlink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0" w:tooltip="Зовнішні порти і роз'єми 1 х Microphone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1 х </w:t>
                    </w:r>
                    <w:proofErr w:type="spellStart"/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Microphone</w:t>
                    </w:r>
                    <w:proofErr w:type="spellEnd"/>
                  </w:hyperlink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1" w:tooltip="Зовнішні порти і роз'єми 1 x Нeadphone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1 x </w:t>
                    </w:r>
                    <w:proofErr w:type="spellStart"/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Нeadphone</w:t>
                    </w:r>
                    <w:proofErr w:type="spellEnd"/>
                  </w:hyperlink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2" w:tooltip="Зовнішні порти і роз'єми 1 x VGA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VGA</w:t>
                    </w:r>
                  </w:hyperlink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3" w:tooltip="Зовнішні порти і роз'єми 1 x HDMI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HDMI</w:t>
                    </w:r>
                  </w:hyperlink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4" w:tooltip="Зовнішні порти і роз'єми 6 x USB 2.0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6 x USB 2.0</w:t>
                    </w:r>
                  </w:hyperlink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5" w:tooltip="Зовнішні порти і роз'єми 2 x USB 3.2 Gen1 Type A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2 x USB 3.2 Gen1 </w:t>
                    </w:r>
                    <w:proofErr w:type="spellStart"/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Type</w:t>
                    </w:r>
                    <w:proofErr w:type="spellEnd"/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 A</w:t>
                    </w:r>
                  </w:hyperlink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6" w:tooltip="Зовнішні порти і роз'єми 1 x RJ45" w:history="1">
                    <w:r>
                      <w:rPr>
                        <w:rStyle w:val="af3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RJ45</w:t>
                    </w:r>
                  </w:hyperlink>
                </w:p>
              </w:tc>
            </w:tr>
            <w:tr w:rsidR="00097DD6" w14:paraId="6FBBBD93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659D04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lastRenderedPageBreak/>
                    <w:t>Звукова система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56836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вбудована</w:t>
                  </w:r>
                </w:p>
              </w:tc>
            </w:tr>
            <w:tr w:rsidR="00097DD6" w14:paraId="3A925DE9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64A811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Тип відеокарти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04ACD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 xml:space="preserve">вбудована, не гірше 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en-US"/>
                    </w:rPr>
                    <w:t>Intel</w:t>
                  </w:r>
                  <w:r w:rsidRPr="00097DD6"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 xml:space="preserve"> 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en-US"/>
                    </w:rPr>
                    <w:t>UHD</w:t>
                  </w:r>
                  <w:r w:rsidRPr="00097DD6"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 xml:space="preserve"> 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  <w:lang w:val="en-US"/>
                    </w:rPr>
                    <w:t>Graphics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 xml:space="preserve"> 730 або еквівалент</w:t>
                  </w:r>
                </w:p>
              </w:tc>
            </w:tr>
            <w:tr w:rsidR="00097DD6" w14:paraId="2B6E20C0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297968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Система охолодження процесора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234DD7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 xml:space="preserve">BOX </w:t>
                  </w: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кулер</w:t>
                  </w:r>
                  <w:proofErr w:type="spellEnd"/>
                </w:p>
              </w:tc>
            </w:tr>
            <w:tr w:rsidR="00097DD6" w14:paraId="21A2811E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EB321A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Форм-фактор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корпуса</w:t>
                  </w:r>
                  <w:proofErr w:type="spellEnd"/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DECCE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Mi</w:t>
                  </w:r>
                  <w:proofErr w:type="spellEnd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en-US"/>
                    </w:rPr>
                    <w:t>n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i-</w:t>
                  </w: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Tower</w:t>
                  </w:r>
                  <w:proofErr w:type="spellEnd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 xml:space="preserve"> або </w:t>
                  </w:r>
                  <w:proofErr w:type="spellStart"/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Midi-Tower</w:t>
                  </w:r>
                  <w:proofErr w:type="spellEnd"/>
                </w:p>
              </w:tc>
            </w:tr>
            <w:tr w:rsidR="00097DD6" w14:paraId="41DA1687" w14:textId="77777777" w:rsidTr="00097DD6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400D20" w14:textId="77777777" w:rsidR="00097DD6" w:rsidRDefault="00097DD6" w:rsidP="00097DD6">
                  <w:pPr>
                    <w:pStyle w:val="af1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Блок живлення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446B6E" w14:textId="77777777" w:rsidR="00097DD6" w:rsidRDefault="00097DD6" w:rsidP="00097DD6">
                  <w:pPr>
                    <w:pStyle w:val="af1"/>
                    <w:widowControl/>
                    <w:suppressAutoHyphens w:val="0"/>
                  </w:pP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>не менше 4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  <w:lang w:val="en-US"/>
                    </w:rPr>
                    <w:t>50</w:t>
                  </w:r>
                  <w:r>
                    <w:rPr>
                      <w:rStyle w:val="af3"/>
                      <w:rFonts w:ascii="Times New Roman" w:eastAsia="Calibri" w:hAnsi="Times New Roman" w:cs="Times New Roman"/>
                      <w:kern w:val="0"/>
                    </w:rPr>
                    <w:t xml:space="preserve"> Вт</w:t>
                  </w:r>
                </w:p>
              </w:tc>
            </w:tr>
          </w:tbl>
          <w:p w14:paraId="1E79ED63" w14:textId="636BABDD" w:rsidR="00E50122" w:rsidRPr="00823699" w:rsidRDefault="00E50122" w:rsidP="00677BD6">
            <w:pPr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4BADEBF3" w:rsidR="00E50122" w:rsidRPr="00086A4D" w:rsidRDefault="00677BD6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149 450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28AE2BF5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</w:t>
            </w:r>
            <w:r w:rsidR="00343314">
              <w:rPr>
                <w:color w:val="000000" w:themeColor="text1"/>
                <w:sz w:val="26"/>
                <w:szCs w:val="26"/>
              </w:rPr>
              <w:t>и</w:t>
            </w:r>
            <w:r w:rsidRPr="00086A4D">
              <w:rPr>
                <w:color w:val="000000" w:themeColor="text1"/>
                <w:sz w:val="26"/>
                <w:szCs w:val="26"/>
              </w:rPr>
              <w:t xml:space="preserve">сь </w:t>
            </w:r>
            <w:r w:rsidR="00343314">
              <w:rPr>
                <w:color w:val="000000" w:themeColor="text1"/>
                <w:sz w:val="26"/>
                <w:szCs w:val="26"/>
              </w:rPr>
              <w:t>цінові пропозиції потенційних Постачальників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2989A860" w:rsidR="00E50122" w:rsidRPr="00E50122" w:rsidRDefault="00677BD6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 штук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proofErr w:type="spellStart"/>
            <w:r w:rsidRPr="00FD0948">
              <w:rPr>
                <w:sz w:val="24"/>
                <w:szCs w:val="24"/>
              </w:rPr>
              <w:t>щопідтверджують</w:t>
            </w:r>
            <w:proofErr w:type="spellEnd"/>
            <w:r w:rsidRPr="00FD0948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68329048" w:rsidR="00343314" w:rsidRPr="00097DD6" w:rsidRDefault="00677BD6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097DD6">
              <w:rPr>
                <w:sz w:val="24"/>
                <w:szCs w:val="24"/>
              </w:rPr>
              <w:t>Запит (ціни) пропозицій</w:t>
            </w:r>
          </w:p>
          <w:p w14:paraId="209F5355" w14:textId="1757A5CA" w:rsidR="00E50122" w:rsidRPr="00097DD6" w:rsidRDefault="00343314" w:rsidP="006C2C4F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97DD6">
              <w:rPr>
                <w:sz w:val="24"/>
                <w:szCs w:val="24"/>
              </w:rPr>
              <w:t xml:space="preserve">Керуючись </w:t>
            </w:r>
            <w:r w:rsidR="00E50122" w:rsidRPr="00097DD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</w:t>
            </w:r>
            <w:r w:rsidR="00E50122" w:rsidRPr="00097DD6">
              <w:rPr>
                <w:sz w:val="26"/>
                <w:szCs w:val="26"/>
              </w:rPr>
              <w:t xml:space="preserve">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B34D6"/>
    <w:rsid w:val="005D2442"/>
    <w:rsid w:val="00600201"/>
    <w:rsid w:val="0060089A"/>
    <w:rsid w:val="00634E24"/>
    <w:rsid w:val="00677BD6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af1">
    <w:name w:val="Звичайний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2">
    <w:name w:val="Шрифт абзацу за промовчанням"/>
    <w:rsid w:val="00097DD6"/>
  </w:style>
  <w:style w:type="character" w:customStyle="1" w:styleId="af3">
    <w:name w:val="Шрифт абзацу за замовчуванням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.com.ua/ukr/category/Komp_yutery-c8203/filter=1416-g52665/" TargetMode="External"/><Relationship Id="rId13" Type="http://schemas.openxmlformats.org/officeDocument/2006/relationships/hyperlink" Target="https://brain.com.ua/ukr/category/Komp_yutery-c8203/filter=1416-g899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9-02-004194-a" TargetMode="External"/><Relationship Id="rId12" Type="http://schemas.openxmlformats.org/officeDocument/2006/relationships/hyperlink" Target="https://brain.com.ua/ukr/category/Komp_yutery-c8203/filter=1416-g3637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rain.com.ua/ukr/category/Komp_yutery-c8203/filter=1416-g1229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ain.com.ua/ukr/category/Komp_yutery-c8203/filter=1416-g526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in.com.ua/ukr/category/Komp_yutery-c8203/filter=1416-g12296/" TargetMode="External"/><Relationship Id="rId10" Type="http://schemas.openxmlformats.org/officeDocument/2006/relationships/hyperlink" Target="https://brain.com.ua/ukr/category/Komp_yutery-c8203/filter=1416-g526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in.com.ua/ukr/category/Komp_yutery-c8203/filter=1416-g12293/" TargetMode="External"/><Relationship Id="rId14" Type="http://schemas.openxmlformats.org/officeDocument/2006/relationships/hyperlink" Target="https://brain.com.ua/ukr/category/Komp_yutery-c8203/filter=1416-g122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2024-09-04T10:37:00Z</dcterms:created>
  <dcterms:modified xsi:type="dcterms:W3CDTF">2024-09-04T10:45:00Z</dcterms:modified>
</cp:coreProperties>
</file>