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704C" w14:textId="3CD996C9" w:rsidR="00786206" w:rsidRPr="00786206" w:rsidRDefault="00C2751A" w:rsidP="00786206">
      <w:pPr>
        <w:spacing w:line="259" w:lineRule="auto"/>
        <w:jc w:val="center"/>
        <w:rPr>
          <w:rFonts w:eastAsia="Calibri"/>
          <w:b/>
          <w:sz w:val="24"/>
          <w:szCs w:val="24"/>
          <w:lang w:eastAsia="en-US"/>
        </w:rPr>
      </w:pPr>
      <w:r>
        <w:rPr>
          <w:rFonts w:eastAsia="Calibri"/>
          <w:b/>
          <w:caps/>
          <w:sz w:val="24"/>
          <w:szCs w:val="24"/>
          <w:lang w:eastAsia="en-US"/>
        </w:rPr>
        <w:t>ЦЕНТРАЛЬНА ГЕОФІЗИЧНА ОБСЕРВАТОРІЯ ІМЕНІ БОРИСА СРЕЗНЕВСЬКОГО</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71"/>
        <w:gridCol w:w="8451"/>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B4EBA4F" w:rsidR="00786206" w:rsidRPr="00786206" w:rsidRDefault="00C2751A" w:rsidP="00786206">
            <w:pPr>
              <w:tabs>
                <w:tab w:val="left" w:pos="7088"/>
              </w:tabs>
              <w:jc w:val="both"/>
              <w:rPr>
                <w:color w:val="000000"/>
                <w:sz w:val="28"/>
                <w:szCs w:val="16"/>
              </w:rPr>
            </w:pPr>
            <w:r>
              <w:rPr>
                <w:color w:val="000000"/>
                <w:sz w:val="28"/>
                <w:szCs w:val="16"/>
              </w:rPr>
              <w:t>Центральна геофізична обсерваторія імені Бориса Срезневського</w:t>
            </w:r>
          </w:p>
          <w:p w14:paraId="4CA9E1C3" w14:textId="640653D6" w:rsidR="00786206" w:rsidRPr="00786206" w:rsidRDefault="00786206" w:rsidP="00786206">
            <w:pPr>
              <w:tabs>
                <w:tab w:val="left" w:pos="7088"/>
              </w:tabs>
              <w:jc w:val="both"/>
              <w:rPr>
                <w:color w:val="000000"/>
                <w:sz w:val="28"/>
                <w:szCs w:val="16"/>
              </w:rPr>
            </w:pPr>
            <w:r w:rsidRPr="00786206">
              <w:rPr>
                <w:color w:val="000000"/>
                <w:sz w:val="28"/>
                <w:szCs w:val="16"/>
              </w:rPr>
              <w:t>0</w:t>
            </w:r>
            <w:r w:rsidR="00C2751A">
              <w:rPr>
                <w:color w:val="000000"/>
                <w:sz w:val="28"/>
                <w:szCs w:val="16"/>
              </w:rPr>
              <w:t>3028</w:t>
            </w:r>
            <w:r w:rsidRPr="00786206">
              <w:rPr>
                <w:color w:val="000000"/>
                <w:sz w:val="28"/>
                <w:szCs w:val="16"/>
              </w:rPr>
              <w:t xml:space="preserve">, Україна, м. Київ, </w:t>
            </w:r>
            <w:r w:rsidR="00C2751A">
              <w:rPr>
                <w:color w:val="000000"/>
                <w:sz w:val="28"/>
                <w:szCs w:val="16"/>
              </w:rPr>
              <w:t>проспект Науки, 39, корпус 2</w:t>
            </w:r>
            <w:r w:rsidRPr="00786206">
              <w:rPr>
                <w:color w:val="000000"/>
                <w:sz w:val="28"/>
                <w:szCs w:val="16"/>
              </w:rPr>
              <w:t xml:space="preserve"> </w:t>
            </w:r>
          </w:p>
          <w:p w14:paraId="2C46CB7C" w14:textId="1D914F1F" w:rsidR="007571FE" w:rsidRDefault="00786206" w:rsidP="00786206">
            <w:pPr>
              <w:tabs>
                <w:tab w:val="left" w:pos="7088"/>
              </w:tabs>
              <w:jc w:val="both"/>
              <w:rPr>
                <w:color w:val="000000"/>
                <w:sz w:val="28"/>
                <w:szCs w:val="16"/>
              </w:rPr>
            </w:pPr>
            <w:r w:rsidRPr="00786206">
              <w:rPr>
                <w:color w:val="000000"/>
                <w:sz w:val="28"/>
                <w:szCs w:val="16"/>
              </w:rPr>
              <w:t xml:space="preserve">Код ЄДРПОУ: </w:t>
            </w:r>
            <w:r w:rsidR="00C2751A">
              <w:rPr>
                <w:color w:val="000000"/>
                <w:sz w:val="28"/>
                <w:szCs w:val="16"/>
              </w:rPr>
              <w:t>22864480</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5BDF2FB" w14:textId="77799256" w:rsidR="009C5CEE" w:rsidRPr="009B6CCB" w:rsidRDefault="00F376F0" w:rsidP="009B6CCB">
            <w:pPr>
              <w:tabs>
                <w:tab w:val="left" w:pos="7088"/>
              </w:tabs>
              <w:rPr>
                <w:color w:val="454545"/>
                <w:sz w:val="24"/>
                <w:szCs w:val="24"/>
                <w:shd w:val="clear" w:color="auto" w:fill="F0F5F2"/>
              </w:rPr>
            </w:pPr>
            <w:r>
              <w:rPr>
                <w:sz w:val="24"/>
                <w:szCs w:val="24"/>
              </w:rPr>
              <w:t xml:space="preserve">Відкриті торги з особливостями </w:t>
            </w:r>
            <w:r w:rsidR="00A63AA9" w:rsidRPr="00A63AA9">
              <w:rPr>
                <w:sz w:val="24"/>
                <w:szCs w:val="24"/>
              </w:rPr>
              <w:t>UA-2024-09-24-004752-a</w:t>
            </w:r>
          </w:p>
          <w:p w14:paraId="6826D998" w14:textId="1AC1C233" w:rsidR="00EA7593" w:rsidRPr="009B6CCB" w:rsidRDefault="00EA7593" w:rsidP="007D2568">
            <w:pPr>
              <w:tabs>
                <w:tab w:val="left" w:pos="7088"/>
              </w:tabs>
              <w:jc w:val="center"/>
              <w:rPr>
                <w:color w:val="000000"/>
                <w:sz w:val="24"/>
                <w:szCs w:val="24"/>
              </w:rPr>
            </w:pPr>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3E1EEB5A"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 202</w:t>
            </w:r>
            <w:r w:rsidR="007D2568">
              <w:rPr>
                <w:color w:val="000000"/>
                <w:sz w:val="28"/>
                <w:szCs w:val="16"/>
              </w:rPr>
              <w:t>4</w:t>
            </w:r>
            <w:r w:rsidR="00F376F0">
              <w:rPr>
                <w:color w:val="000000"/>
                <w:sz w:val="28"/>
                <w:szCs w:val="16"/>
              </w:rPr>
              <w:t>-2025</w:t>
            </w:r>
            <w:r w:rsidRPr="00D02EEA">
              <w:rPr>
                <w:color w:val="000000"/>
                <w:sz w:val="28"/>
                <w:szCs w:val="16"/>
              </w:rPr>
              <w:t xml:space="preserve"> </w:t>
            </w:r>
            <w:proofErr w:type="spellStart"/>
            <w:r w:rsidR="00F376F0">
              <w:rPr>
                <w:color w:val="000000"/>
                <w:sz w:val="28"/>
                <w:szCs w:val="16"/>
              </w:rPr>
              <w:t>р.р</w:t>
            </w:r>
            <w:proofErr w:type="spellEnd"/>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lastRenderedPageBreak/>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0209BAD0" w:rsidR="009C5CEE" w:rsidRPr="00D02EEA" w:rsidRDefault="00F376F0" w:rsidP="006F071B">
            <w:pPr>
              <w:tabs>
                <w:tab w:val="left" w:pos="7088"/>
              </w:tabs>
              <w:jc w:val="both"/>
              <w:rPr>
                <w:color w:val="000000"/>
                <w:sz w:val="28"/>
                <w:szCs w:val="16"/>
              </w:rPr>
            </w:pPr>
            <w:r>
              <w:rPr>
                <w:color w:val="000000"/>
                <w:sz w:val="28"/>
                <w:szCs w:val="16"/>
              </w:rPr>
              <w:t>205996,61</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5A9FFE05" w:rsidR="00786206" w:rsidRPr="006C2C4F" w:rsidRDefault="00F376F0" w:rsidP="001E67B5">
            <w:pPr>
              <w:tabs>
                <w:tab w:val="left" w:pos="7088"/>
              </w:tabs>
              <w:jc w:val="both"/>
              <w:rPr>
                <w:color w:val="000000"/>
                <w:sz w:val="28"/>
                <w:szCs w:val="16"/>
              </w:rPr>
            </w:pPr>
            <w:r>
              <w:rPr>
                <w:color w:val="000000"/>
                <w:sz w:val="28"/>
                <w:szCs w:val="16"/>
              </w:rPr>
              <w:t>12444</w:t>
            </w:r>
            <w:r w:rsidR="00406D8A" w:rsidRPr="00406D8A">
              <w:rPr>
                <w:color w:val="000000"/>
                <w:sz w:val="28"/>
                <w:szCs w:val="16"/>
              </w:rPr>
              <w:t xml:space="preserve">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76F849F9" w:rsidR="009C5CEE" w:rsidRDefault="007571FE" w:rsidP="006C2C4F">
            <w:pPr>
              <w:tabs>
                <w:tab w:val="left" w:pos="7088"/>
              </w:tabs>
              <w:jc w:val="both"/>
              <w:rPr>
                <w:color w:val="000000"/>
                <w:sz w:val="28"/>
                <w:szCs w:val="16"/>
              </w:rPr>
            </w:pPr>
            <w:r>
              <w:rPr>
                <w:color w:val="000000"/>
                <w:sz w:val="27"/>
                <w:szCs w:val="27"/>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3F47568F" w14:textId="77777777" w:rsidR="009B6CCB" w:rsidRPr="009B6CCB" w:rsidRDefault="009B6CCB" w:rsidP="009B6CCB">
            <w:pPr>
              <w:tabs>
                <w:tab w:val="left" w:pos="7088"/>
              </w:tabs>
              <w:jc w:val="both"/>
              <w:rPr>
                <w:color w:val="000000"/>
                <w:sz w:val="27"/>
                <w:szCs w:val="27"/>
              </w:rPr>
            </w:pPr>
            <w:r w:rsidRPr="009B6CCB">
              <w:rPr>
                <w:color w:val="000000"/>
                <w:sz w:val="27"/>
                <w:szCs w:val="27"/>
              </w:rPr>
              <w:t xml:space="preserve">Київська область, Миронівський р-н, п/в Центральне, 30 </w:t>
            </w:r>
          </w:p>
          <w:p w14:paraId="2ED094A0"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Біла Церква, вул. вул. Героїв Маріуполя, 43</w:t>
            </w:r>
          </w:p>
          <w:p w14:paraId="187FA0D4"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смт. Баришівка, вул. Паркова, 79</w:t>
            </w:r>
          </w:p>
          <w:p w14:paraId="7349B0B1"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м.Фастів-2, вул. Кільцева,9</w:t>
            </w:r>
          </w:p>
          <w:p w14:paraId="6D0C61AC"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Яготин, вул. Толбухіна, 56</w:t>
            </w:r>
          </w:p>
          <w:p w14:paraId="1C9EA407" w14:textId="0F0BE891" w:rsidR="00FB7B07" w:rsidRDefault="009B6CCB" w:rsidP="009B6CCB">
            <w:pPr>
              <w:tabs>
                <w:tab w:val="left" w:pos="7088"/>
              </w:tabs>
              <w:jc w:val="both"/>
              <w:rPr>
                <w:color w:val="000000"/>
                <w:sz w:val="27"/>
                <w:szCs w:val="27"/>
              </w:rPr>
            </w:pPr>
            <w:r w:rsidRPr="009B6CCB">
              <w:rPr>
                <w:color w:val="000000"/>
                <w:sz w:val="27"/>
                <w:szCs w:val="27"/>
              </w:rPr>
              <w:t xml:space="preserve">(Точка входу в газорозподільну систему, до яких підключені об’єкти) </w:t>
            </w: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0378588A"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w:t>
            </w:r>
            <w:r w:rsidR="00F376F0">
              <w:rPr>
                <w:color w:val="000000"/>
                <w:sz w:val="27"/>
                <w:szCs w:val="27"/>
              </w:rPr>
              <w:t>15</w:t>
            </w:r>
            <w:r w:rsidR="007D2568">
              <w:rPr>
                <w:color w:val="000000"/>
                <w:sz w:val="27"/>
                <w:szCs w:val="27"/>
              </w:rPr>
              <w:t>.</w:t>
            </w:r>
            <w:r w:rsidR="00F376F0">
              <w:rPr>
                <w:color w:val="000000"/>
                <w:sz w:val="27"/>
                <w:szCs w:val="27"/>
              </w:rPr>
              <w:t>10</w:t>
            </w:r>
            <w:r w:rsidR="007D2568">
              <w:rPr>
                <w:color w:val="000000"/>
                <w:sz w:val="27"/>
                <w:szCs w:val="27"/>
              </w:rPr>
              <w:t xml:space="preserve">.2024 року </w:t>
            </w:r>
            <w:r w:rsidRPr="00FB7B07">
              <w:rPr>
                <w:color w:val="000000"/>
                <w:sz w:val="27"/>
                <w:szCs w:val="27"/>
              </w:rPr>
              <w:t xml:space="preserve">до </w:t>
            </w:r>
            <w:r w:rsidR="00F376F0">
              <w:rPr>
                <w:color w:val="000000"/>
                <w:sz w:val="27"/>
                <w:szCs w:val="27"/>
              </w:rPr>
              <w:t>30</w:t>
            </w:r>
            <w:r w:rsidR="007D2568">
              <w:rPr>
                <w:color w:val="000000"/>
                <w:sz w:val="27"/>
                <w:szCs w:val="27"/>
              </w:rPr>
              <w:t>.04.202</w:t>
            </w:r>
            <w:r w:rsidR="00F376F0">
              <w:rPr>
                <w:color w:val="000000"/>
                <w:sz w:val="27"/>
                <w:szCs w:val="27"/>
              </w:rPr>
              <w:t>5</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0955498">
    <w:abstractNumId w:val="2"/>
  </w:num>
  <w:num w:numId="2" w16cid:durableId="1259412109">
    <w:abstractNumId w:val="4"/>
  </w:num>
  <w:num w:numId="3" w16cid:durableId="2009946262">
    <w:abstractNumId w:val="3"/>
  </w:num>
  <w:num w:numId="4" w16cid:durableId="1570261438">
    <w:abstractNumId w:val="1"/>
  </w:num>
  <w:num w:numId="5" w16cid:durableId="73265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05"/>
    <w:rsid w:val="000162EF"/>
    <w:rsid w:val="000619D7"/>
    <w:rsid w:val="000762F0"/>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B4620"/>
    <w:rsid w:val="004E51C8"/>
    <w:rsid w:val="00546B1C"/>
    <w:rsid w:val="005B0AF2"/>
    <w:rsid w:val="005E007B"/>
    <w:rsid w:val="005F1F7F"/>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D3EE3"/>
    <w:rsid w:val="008F1694"/>
    <w:rsid w:val="00911F23"/>
    <w:rsid w:val="009B6CCB"/>
    <w:rsid w:val="009C5CEE"/>
    <w:rsid w:val="009C62D3"/>
    <w:rsid w:val="009F6FC5"/>
    <w:rsid w:val="00A62B74"/>
    <w:rsid w:val="00A63AA9"/>
    <w:rsid w:val="00A96C42"/>
    <w:rsid w:val="00AB2ABD"/>
    <w:rsid w:val="00B5057D"/>
    <w:rsid w:val="00B55FBB"/>
    <w:rsid w:val="00B931B1"/>
    <w:rsid w:val="00BA6D41"/>
    <w:rsid w:val="00BB6DFE"/>
    <w:rsid w:val="00BD639F"/>
    <w:rsid w:val="00BE564A"/>
    <w:rsid w:val="00BF57A5"/>
    <w:rsid w:val="00C071B3"/>
    <w:rsid w:val="00C10D7B"/>
    <w:rsid w:val="00C1529F"/>
    <w:rsid w:val="00C2448C"/>
    <w:rsid w:val="00C2751A"/>
    <w:rsid w:val="00C80D56"/>
    <w:rsid w:val="00C829F0"/>
    <w:rsid w:val="00CA1C25"/>
    <w:rsid w:val="00CB690E"/>
    <w:rsid w:val="00D02EEA"/>
    <w:rsid w:val="00D10C6C"/>
    <w:rsid w:val="00D56B3C"/>
    <w:rsid w:val="00D7199B"/>
    <w:rsid w:val="00D76790"/>
    <w:rsid w:val="00D86AEC"/>
    <w:rsid w:val="00DB5748"/>
    <w:rsid w:val="00DD1E26"/>
    <w:rsid w:val="00E1278E"/>
    <w:rsid w:val="00E67049"/>
    <w:rsid w:val="00E83929"/>
    <w:rsid w:val="00E86EC3"/>
    <w:rsid w:val="00EA7593"/>
    <w:rsid w:val="00F0676E"/>
    <w:rsid w:val="00F34375"/>
    <w:rsid w:val="00F376F0"/>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customStyle="1" w:styleId="10">
    <w:name w:val="Неразрешенное упоминание1"/>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35595720">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95EB-6FB2-4874-8E16-D03406D6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3408</Words>
  <Characters>1943</Characters>
  <Application>Microsoft Office Word</Application>
  <DocSecurity>4</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2</cp:revision>
  <cp:lastPrinted>2023-04-14T10:13:00Z</cp:lastPrinted>
  <dcterms:created xsi:type="dcterms:W3CDTF">2024-09-24T09:07:00Z</dcterms:created>
  <dcterms:modified xsi:type="dcterms:W3CDTF">2024-09-24T09:07:00Z</dcterms:modified>
</cp:coreProperties>
</file>