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6566"/>
        <w:gridCol w:w="8456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7D3E4143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Послуги доступу до мережі Інтернет</w:t>
            </w:r>
          </w:p>
          <w:p w14:paraId="2856A7BD" w14:textId="585A9615" w:rsidR="009C5CEE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Код ДК 021:2015 – 72410000-7- «Послуги провайдерів»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2DDEFAFD" w:rsidR="009C5CEE" w:rsidRPr="003B370D" w:rsidRDefault="007F4041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="00E549E4" w:rsidRPr="007F4041">
                <w:rPr>
                  <w:rStyle w:val="a9"/>
                  <w:sz w:val="28"/>
                  <w:szCs w:val="28"/>
                </w:rPr>
                <w:t>UA-2024-12-09-012087-a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7B7EA69E" w14:textId="62F20027" w:rsidR="00590E98" w:rsidRPr="00590E98" w:rsidRDefault="00590E98" w:rsidP="00590E98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590E98">
              <w:rPr>
                <w:color w:val="000000"/>
                <w:sz w:val="24"/>
                <w:szCs w:val="24"/>
              </w:rPr>
              <w:t xml:space="preserve">Технологія, за якою надається Послуга: </w:t>
            </w:r>
            <w:proofErr w:type="spellStart"/>
            <w:r w:rsidRPr="00590E98">
              <w:rPr>
                <w:color w:val="000000"/>
                <w:sz w:val="24"/>
                <w:szCs w:val="24"/>
              </w:rPr>
              <w:t>Ethernet</w:t>
            </w:r>
            <w:proofErr w:type="spellEnd"/>
            <w:r w:rsidRPr="00590E98">
              <w:rPr>
                <w:color w:val="000000"/>
                <w:sz w:val="24"/>
                <w:szCs w:val="24"/>
              </w:rPr>
              <w:t>.</w:t>
            </w:r>
          </w:p>
          <w:p w14:paraId="3A681197" w14:textId="778577B1" w:rsidR="00590E98" w:rsidRPr="00590E98" w:rsidRDefault="00590E98" w:rsidP="00590E98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590E9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590E98">
              <w:rPr>
                <w:color w:val="000000"/>
                <w:sz w:val="24"/>
                <w:szCs w:val="24"/>
              </w:rPr>
              <w:t>Пропускна можливість доступу за технологією, що використовується за адресою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0E98">
              <w:rPr>
                <w:color w:val="000000"/>
                <w:sz w:val="24"/>
                <w:szCs w:val="24"/>
              </w:rPr>
              <w:t xml:space="preserve">м. Київ, вул. </w:t>
            </w:r>
            <w:proofErr w:type="spellStart"/>
            <w:r w:rsidRPr="00590E98">
              <w:rPr>
                <w:color w:val="000000"/>
                <w:sz w:val="24"/>
                <w:szCs w:val="24"/>
              </w:rPr>
              <w:t>Передмістна</w:t>
            </w:r>
            <w:proofErr w:type="spellEnd"/>
            <w:r w:rsidRPr="00590E98">
              <w:rPr>
                <w:color w:val="000000"/>
                <w:sz w:val="24"/>
                <w:szCs w:val="24"/>
              </w:rPr>
              <w:t xml:space="preserve"> Слобідка, буд. 1 (Гідрометеорологічна станція Київ): </w:t>
            </w:r>
          </w:p>
          <w:p w14:paraId="45779809" w14:textId="77777777" w:rsidR="00590E98" w:rsidRPr="00590E98" w:rsidRDefault="00590E98" w:rsidP="00590E98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590E98">
              <w:rPr>
                <w:color w:val="000000"/>
                <w:sz w:val="24"/>
                <w:szCs w:val="24"/>
              </w:rPr>
              <w:t>- доступ до закордонного сегмента Інтернет до 10 Мбіт/с;</w:t>
            </w:r>
          </w:p>
          <w:p w14:paraId="25BE1BD5" w14:textId="77777777" w:rsidR="008B16D5" w:rsidRDefault="00590E98" w:rsidP="00590E98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590E98">
              <w:rPr>
                <w:color w:val="000000"/>
                <w:sz w:val="24"/>
                <w:szCs w:val="24"/>
              </w:rPr>
              <w:t>- доступ до українського сегмента Інтернет до 10 Мбіт/с.</w:t>
            </w:r>
          </w:p>
          <w:p w14:paraId="3BF1F680" w14:textId="15F3F2AD" w:rsidR="00590E98" w:rsidRPr="00590E98" w:rsidRDefault="00590E98" w:rsidP="00590E98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590E98">
              <w:rPr>
                <w:color w:val="000000"/>
                <w:sz w:val="24"/>
                <w:szCs w:val="24"/>
              </w:rPr>
              <w:t xml:space="preserve">Технічні умови: </w:t>
            </w:r>
          </w:p>
          <w:p w14:paraId="4C8A57A7" w14:textId="08AA2839" w:rsidR="00590E98" w:rsidRPr="00590E98" w:rsidRDefault="00590E98" w:rsidP="00590E98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590E98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0E98">
              <w:rPr>
                <w:color w:val="000000"/>
                <w:sz w:val="24"/>
                <w:szCs w:val="24"/>
              </w:rPr>
              <w:t>Учасник повинен забезпечити затримку пакетів в мережі Оператора: не більше 50 мс.</w:t>
            </w:r>
          </w:p>
          <w:p w14:paraId="7251829F" w14:textId="02D5D433" w:rsidR="00590E98" w:rsidRPr="00590E98" w:rsidRDefault="00590E98" w:rsidP="00590E98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590E98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0E98">
              <w:rPr>
                <w:color w:val="000000"/>
                <w:sz w:val="24"/>
                <w:szCs w:val="24"/>
              </w:rPr>
              <w:t>Учасник повинен забезпечити точку демаркації (розмежування відповідальності Виконавця та Замовника): Порт мережевого обладнання Оператора.</w:t>
            </w:r>
          </w:p>
          <w:p w14:paraId="3C0D0F9D" w14:textId="6AD11DF7" w:rsidR="00590E98" w:rsidRPr="00590E98" w:rsidRDefault="00590E98" w:rsidP="00590E98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590E98">
              <w:rPr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0E98">
              <w:rPr>
                <w:color w:val="000000"/>
                <w:sz w:val="24"/>
                <w:szCs w:val="24"/>
              </w:rPr>
              <w:t>Учасник повинен забезпечити загальну доступність Послуги не менше 99,5% на рік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C1CCBA1" w14:textId="29E6313F" w:rsidR="00590E98" w:rsidRPr="00590E98" w:rsidRDefault="00590E98" w:rsidP="00590E98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590E98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590E98">
              <w:rPr>
                <w:color w:val="000000"/>
                <w:sz w:val="24"/>
                <w:szCs w:val="24"/>
              </w:rPr>
              <w:t>табільне (365 днів, 24 години на добу, 7 днів на тиждень) надання Послуги безлімітного доступу до мережі Інтернет (українського та міжнародного трафіку).</w:t>
            </w:r>
          </w:p>
          <w:p w14:paraId="57BCD846" w14:textId="407FD07E" w:rsidR="00590E98" w:rsidRPr="00590E98" w:rsidRDefault="00590E98" w:rsidP="00590E98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Т</w:t>
            </w:r>
            <w:r w:rsidRPr="00590E98">
              <w:rPr>
                <w:color w:val="000000"/>
                <w:sz w:val="24"/>
                <w:szCs w:val="24"/>
              </w:rPr>
              <w:t>ехнічн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90E98">
              <w:rPr>
                <w:color w:val="000000"/>
                <w:sz w:val="24"/>
                <w:szCs w:val="24"/>
              </w:rPr>
              <w:t xml:space="preserve"> підтримк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90E98">
              <w:rPr>
                <w:color w:val="000000"/>
                <w:sz w:val="24"/>
                <w:szCs w:val="24"/>
              </w:rPr>
              <w:t xml:space="preserve"> Послуги, яка включає в себе постійний моніторинг телекомунікаційних каналів зв’язку та діагностику причин відхилення від заданих технічних характеристик. Максимальний термін усунення аварійної недоступності  послуг не повинен перевищувати: 1 годину – логічний рівень та 12 годин – фізичний рівень.</w:t>
            </w:r>
          </w:p>
          <w:p w14:paraId="48E81143" w14:textId="0895ED9F" w:rsidR="00590E98" w:rsidRPr="00590E98" w:rsidRDefault="00590E98" w:rsidP="00590E98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В</w:t>
            </w:r>
            <w:r w:rsidRPr="00590E98">
              <w:rPr>
                <w:color w:val="000000"/>
                <w:sz w:val="24"/>
                <w:szCs w:val="24"/>
              </w:rPr>
              <w:t>ласн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90E98">
              <w:rPr>
                <w:color w:val="000000"/>
                <w:sz w:val="24"/>
                <w:szCs w:val="24"/>
              </w:rPr>
              <w:t xml:space="preserve"> Служб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90E98">
              <w:rPr>
                <w:color w:val="000000"/>
                <w:sz w:val="24"/>
                <w:szCs w:val="24"/>
              </w:rPr>
              <w:t xml:space="preserve"> технічної підтримки, з можливістю цілодобового та щоденного звернення (протягом 24 годин на добу, 7 днів на тиждень) телефоном  електронною поштою.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7AA3FB8B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обсяг</w:t>
            </w:r>
            <w:r w:rsidR="00C64862">
              <w:rPr>
                <w:color w:val="000000"/>
                <w:sz w:val="28"/>
                <w:szCs w:val="16"/>
              </w:rPr>
              <w:t>ів</w:t>
            </w:r>
            <w:r w:rsidRPr="00C071B3">
              <w:rPr>
                <w:color w:val="000000"/>
                <w:sz w:val="28"/>
                <w:szCs w:val="16"/>
              </w:rPr>
              <w:t xml:space="preserve"> кошторисних призначень на 202</w:t>
            </w:r>
            <w:r w:rsidR="008B16D5" w:rsidRPr="008B16D5">
              <w:rPr>
                <w:color w:val="000000"/>
                <w:sz w:val="28"/>
                <w:szCs w:val="16"/>
                <w:lang w:val="ru-RU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46309E32" w:rsidR="009C5CEE" w:rsidRDefault="00590E98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9500,00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>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3B79BA40" w14:textId="54C53ABC" w:rsidR="002D37F8" w:rsidRDefault="002D37F8" w:rsidP="002D37F8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2D37F8">
              <w:rPr>
                <w:color w:val="000000"/>
                <w:sz w:val="28"/>
                <w:szCs w:val="16"/>
              </w:rPr>
              <w:t>Очікувана вартість предмету закупівлі визначена на підставі моніторингу цін, шляхом пошуку, збору та аналізу загальнодоступної інформації про ціни виконавців, що містяться у відкритому доступі</w:t>
            </w:r>
            <w:r>
              <w:rPr>
                <w:color w:val="000000"/>
                <w:sz w:val="28"/>
                <w:szCs w:val="16"/>
              </w:rPr>
              <w:t xml:space="preserve">, </w:t>
            </w:r>
            <w:r w:rsidRPr="002D37F8">
              <w:rPr>
                <w:color w:val="000000"/>
                <w:sz w:val="28"/>
                <w:szCs w:val="16"/>
              </w:rPr>
              <w:t>з урахуванням наданих послуг в попередніх роках</w:t>
            </w:r>
            <w:r>
              <w:rPr>
                <w:color w:val="000000"/>
                <w:sz w:val="28"/>
                <w:szCs w:val="16"/>
              </w:rPr>
              <w:t xml:space="preserve">. </w:t>
            </w:r>
          </w:p>
          <w:p w14:paraId="2440F4D1" w14:textId="457BAE56" w:rsidR="00FD0948" w:rsidRDefault="002D37F8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Р</w:t>
            </w:r>
            <w:r w:rsidR="006C2C4F" w:rsidRPr="006C2C4F">
              <w:rPr>
                <w:color w:val="000000"/>
                <w:sz w:val="28"/>
                <w:szCs w:val="16"/>
              </w:rPr>
              <w:t>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="006C2C4F" w:rsidRPr="006C2C4F">
              <w:rPr>
                <w:color w:val="000000"/>
                <w:sz w:val="28"/>
                <w:szCs w:val="16"/>
              </w:rPr>
              <w:t>18.02.2020р. № 275 «Про затвердження примірної методики визначення очікуваної вартості предмета закупівлі»</w:t>
            </w:r>
            <w:r>
              <w:rPr>
                <w:color w:val="000000"/>
                <w:sz w:val="28"/>
                <w:szCs w:val="16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6A688725" w:rsidR="00786206" w:rsidRPr="006C2C4F" w:rsidRDefault="00590E98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12</w:t>
            </w:r>
            <w:r w:rsidR="008B16D5">
              <w:rPr>
                <w:color w:val="000000"/>
                <w:sz w:val="28"/>
                <w:szCs w:val="16"/>
              </w:rPr>
              <w:t xml:space="preserve"> послуг</w:t>
            </w:r>
            <w:r w:rsidR="002D37F8">
              <w:rPr>
                <w:color w:val="000000"/>
                <w:sz w:val="28"/>
                <w:szCs w:val="16"/>
              </w:rPr>
              <w:t>и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5D306C53" w:rsidR="009C5CEE" w:rsidRPr="003B370D" w:rsidRDefault="008B16D5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8B16D5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</w:t>
            </w:r>
            <w:r w:rsidRPr="008B16D5">
              <w:rPr>
                <w:color w:val="000000"/>
                <w:sz w:val="28"/>
                <w:szCs w:val="28"/>
              </w:rPr>
              <w:lastRenderedPageBreak/>
              <w:t>режиму воєнного стану в Україні та протягом 90 днів з дня його припинення або скасування» від 12.10.2022 № 1178</w:t>
            </w:r>
          </w:p>
        </w:tc>
      </w:tr>
      <w:tr w:rsidR="008B16D5" w14:paraId="33B4E99E" w14:textId="77777777" w:rsidTr="00FD0948">
        <w:tc>
          <w:tcPr>
            <w:tcW w:w="675" w:type="dxa"/>
          </w:tcPr>
          <w:p w14:paraId="0FB888CA" w14:textId="3E7333CE" w:rsidR="008B16D5" w:rsidRPr="00FD0948" w:rsidRDefault="008B16D5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3" w:type="dxa"/>
          </w:tcPr>
          <w:p w14:paraId="3564740B" w14:textId="73E76D11" w:rsidR="008B16D5" w:rsidRPr="00FD0948" w:rsidRDefault="008B16D5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8B16D5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а підключення </w:t>
            </w:r>
            <w:r w:rsidR="007240E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надання</w:t>
            </w:r>
            <w:r w:rsidR="007240ED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послуг</w:t>
            </w:r>
          </w:p>
        </w:tc>
        <w:tc>
          <w:tcPr>
            <w:tcW w:w="8581" w:type="dxa"/>
          </w:tcPr>
          <w:p w14:paraId="69C4887C" w14:textId="2E6BE59B" w:rsidR="002D37F8" w:rsidRPr="008B16D5" w:rsidRDefault="00590E98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590E98">
              <w:rPr>
                <w:color w:val="000000"/>
                <w:sz w:val="28"/>
                <w:szCs w:val="28"/>
              </w:rPr>
              <w:t xml:space="preserve">м. Київ, вул. </w:t>
            </w:r>
            <w:proofErr w:type="spellStart"/>
            <w:r w:rsidRPr="00590E98">
              <w:rPr>
                <w:color w:val="000000"/>
                <w:sz w:val="28"/>
                <w:szCs w:val="28"/>
              </w:rPr>
              <w:t>Передмістна</w:t>
            </w:r>
            <w:proofErr w:type="spellEnd"/>
            <w:r w:rsidRPr="00590E98">
              <w:rPr>
                <w:color w:val="000000"/>
                <w:sz w:val="28"/>
                <w:szCs w:val="28"/>
              </w:rPr>
              <w:t xml:space="preserve"> Слобідка, буд. 1 (Гідрометеорологічна станція Київ)</w:t>
            </w:r>
          </w:p>
        </w:tc>
      </w:tr>
      <w:tr w:rsidR="007240ED" w14:paraId="54174A8D" w14:textId="77777777" w:rsidTr="00FD0948">
        <w:tc>
          <w:tcPr>
            <w:tcW w:w="675" w:type="dxa"/>
          </w:tcPr>
          <w:p w14:paraId="18DB89B8" w14:textId="7268DFE4" w:rsidR="007240ED" w:rsidRDefault="007240ED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393F09BF" w14:textId="4CEECC13" w:rsidR="007240ED" w:rsidRPr="008B16D5" w:rsidRDefault="007240ED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240ED">
              <w:rPr>
                <w:b/>
                <w:sz w:val="24"/>
                <w:szCs w:val="24"/>
              </w:rPr>
              <w:t xml:space="preserve">Термін </w:t>
            </w:r>
            <w:r>
              <w:rPr>
                <w:b/>
                <w:sz w:val="24"/>
                <w:szCs w:val="24"/>
              </w:rPr>
              <w:t>надання послуг</w:t>
            </w:r>
          </w:p>
        </w:tc>
        <w:tc>
          <w:tcPr>
            <w:tcW w:w="8581" w:type="dxa"/>
          </w:tcPr>
          <w:p w14:paraId="4265BD2D" w14:textId="4D4C44B7" w:rsidR="007240ED" w:rsidRPr="008B16D5" w:rsidRDefault="007240ED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7240ED">
              <w:rPr>
                <w:color w:val="000000"/>
                <w:sz w:val="28"/>
                <w:szCs w:val="28"/>
              </w:rPr>
              <w:t>з 01.01.2025 по 31.12.2025 року (включно)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44D19"/>
    <w:rsid w:val="000619D7"/>
    <w:rsid w:val="000762F0"/>
    <w:rsid w:val="000D58DF"/>
    <w:rsid w:val="00151E6B"/>
    <w:rsid w:val="00173A22"/>
    <w:rsid w:val="001B53FC"/>
    <w:rsid w:val="001E67B5"/>
    <w:rsid w:val="001F7B1D"/>
    <w:rsid w:val="00262B69"/>
    <w:rsid w:val="00267EAA"/>
    <w:rsid w:val="002B2A2F"/>
    <w:rsid w:val="002D37F8"/>
    <w:rsid w:val="0031588C"/>
    <w:rsid w:val="00352383"/>
    <w:rsid w:val="00362587"/>
    <w:rsid w:val="00372B9D"/>
    <w:rsid w:val="00385363"/>
    <w:rsid w:val="00391B7F"/>
    <w:rsid w:val="003A0EC8"/>
    <w:rsid w:val="003B370D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90E98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240ED"/>
    <w:rsid w:val="007571FE"/>
    <w:rsid w:val="00786206"/>
    <w:rsid w:val="007F4041"/>
    <w:rsid w:val="008033BA"/>
    <w:rsid w:val="008135E2"/>
    <w:rsid w:val="00816282"/>
    <w:rsid w:val="008B16D5"/>
    <w:rsid w:val="008B485A"/>
    <w:rsid w:val="008D0B23"/>
    <w:rsid w:val="008D3EE3"/>
    <w:rsid w:val="008F1694"/>
    <w:rsid w:val="00900F3C"/>
    <w:rsid w:val="009C5CEE"/>
    <w:rsid w:val="009C62D3"/>
    <w:rsid w:val="009F6FC5"/>
    <w:rsid w:val="00A31158"/>
    <w:rsid w:val="00A62A0C"/>
    <w:rsid w:val="00A62B74"/>
    <w:rsid w:val="00A74C7F"/>
    <w:rsid w:val="00A96C42"/>
    <w:rsid w:val="00AB2ABD"/>
    <w:rsid w:val="00B55FBB"/>
    <w:rsid w:val="00B931B1"/>
    <w:rsid w:val="00BA6D41"/>
    <w:rsid w:val="00BB6DFE"/>
    <w:rsid w:val="00BD639F"/>
    <w:rsid w:val="00BF57A5"/>
    <w:rsid w:val="00BF738B"/>
    <w:rsid w:val="00C071B3"/>
    <w:rsid w:val="00C10D7B"/>
    <w:rsid w:val="00C2448C"/>
    <w:rsid w:val="00C6486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965C5"/>
    <w:rsid w:val="00DA262B"/>
    <w:rsid w:val="00DB5748"/>
    <w:rsid w:val="00DD1E26"/>
    <w:rsid w:val="00E1278E"/>
    <w:rsid w:val="00E549E4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9-0120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2533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5</cp:revision>
  <cp:lastPrinted>2023-04-14T10:13:00Z</cp:lastPrinted>
  <dcterms:created xsi:type="dcterms:W3CDTF">2024-12-11T11:06:00Z</dcterms:created>
  <dcterms:modified xsi:type="dcterms:W3CDTF">2024-12-12T08:07:00Z</dcterms:modified>
</cp:coreProperties>
</file>